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35840C">
      <w:pP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防火墙（2台）</w:t>
      </w:r>
    </w:p>
    <w:tbl>
      <w:tblPr>
        <w:tblStyle w:val="2"/>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20"/>
        <w:gridCol w:w="7794"/>
      </w:tblGrid>
      <w:tr w14:paraId="0B8F1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0" w:hRule="atLeast"/>
        </w:trPr>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E23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基本要求</w:t>
            </w:r>
          </w:p>
        </w:tc>
        <w:tc>
          <w:tcPr>
            <w:tcW w:w="4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1C6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网络层吞吐量≥10G，并发连接≥300万，每秒新建连接数≥10万；≥8个千兆电口，≥2个千兆光口，≥2个万兆光口，≥1个扩展插槽，≥1个Console口，2个USB接口；≥200个IPsecVPN标配并发隧道数，≥200个SSLVPN标配并发用户数；支持应用控制功能、URL过滤功能、病毒防护功、入侵防御功能、</w:t>
            </w:r>
            <w:bookmarkStart w:id="0" w:name="_GoBack"/>
            <w:bookmarkEnd w:id="0"/>
            <w:r>
              <w:rPr>
                <w:rFonts w:hint="eastAsia" w:ascii="宋体" w:hAnsi="宋体" w:eastAsia="宋体" w:cs="宋体"/>
                <w:i w:val="0"/>
                <w:iCs w:val="0"/>
                <w:color w:val="000000"/>
                <w:kern w:val="0"/>
                <w:sz w:val="22"/>
                <w:szCs w:val="22"/>
                <w:u w:val="none"/>
                <w:lang w:val="en-US" w:eastAsia="zh-CN" w:bidi="ar"/>
              </w:rPr>
              <w:t>威胁情报检测功能；</w:t>
            </w:r>
          </w:p>
        </w:tc>
      </w:tr>
      <w:tr w14:paraId="384FB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8B0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服务要求</w:t>
            </w:r>
          </w:p>
        </w:tc>
        <w:tc>
          <w:tcPr>
            <w:tcW w:w="4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2B7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2、含三年硬件维保服务和三年特征库升级服务（包含病毒防护特征库、入侵防御特征库升级服务等）。</w:t>
            </w:r>
          </w:p>
        </w:tc>
      </w:tr>
      <w:tr w14:paraId="49393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ED4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安全策略</w:t>
            </w:r>
          </w:p>
        </w:tc>
        <w:tc>
          <w:tcPr>
            <w:tcW w:w="4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FC5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3、命中时间分析展示被命中的安全策略的名称、状态、命中数、策略创建时间、首次命中时间和最近命中时间；安全策略推荐定可以指定策略流量，分析后自动生成源地址精度更高的安全策略。</w:t>
            </w:r>
          </w:p>
        </w:tc>
      </w:tr>
      <w:tr w14:paraId="53399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34D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接入模式</w:t>
            </w:r>
          </w:p>
        </w:tc>
        <w:tc>
          <w:tcPr>
            <w:tcW w:w="4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00A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4、产品支持路由、透明、交换以及混合模式接入，满足复杂应用环境的接入需求。</w:t>
            </w:r>
          </w:p>
        </w:tc>
      </w:tr>
      <w:tr w14:paraId="73440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759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攻击防护</w:t>
            </w:r>
          </w:p>
        </w:tc>
        <w:tc>
          <w:tcPr>
            <w:tcW w:w="4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F2F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5、网络攻击防护功能：包含木马后门、勒索软件通信防护、异常流量检测、间谍软件功能防护、高危行为动态黑IP、Flood攻击防护等功能。</w:t>
            </w:r>
          </w:p>
        </w:tc>
      </w:tr>
      <w:tr w14:paraId="515DF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1DF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地址转换</w:t>
            </w:r>
          </w:p>
        </w:tc>
        <w:tc>
          <w:tcPr>
            <w:tcW w:w="4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D4D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6、地址转换：须支持在源地址转换过程中，对SNAT（源地址转换）使用的地址池利用率进行监控，并在地址池利用率超过阈值时，通过SNMP Trap、邮件等方式告警。</w:t>
            </w:r>
          </w:p>
        </w:tc>
      </w:tr>
      <w:tr w14:paraId="18F19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FC3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ipv6支持</w:t>
            </w:r>
          </w:p>
        </w:tc>
        <w:tc>
          <w:tcPr>
            <w:tcW w:w="4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9DB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7、IPv6支持：支持DS-Lite CPE B4功能，支持成为b4或aftr角色，支持从DHCPv6服务器或手动方式获取AFTR参数。</w:t>
            </w:r>
          </w:p>
        </w:tc>
      </w:tr>
      <w:tr w14:paraId="08339C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979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病毒防护</w:t>
            </w:r>
          </w:p>
        </w:tc>
        <w:tc>
          <w:tcPr>
            <w:tcW w:w="4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512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8、病毒防护：能够对HTTP/FTP/POP3/SMTP/IMAP/SMB六种协议进行病毒查杀；本地病毒库规模不低于3000万。</w:t>
            </w:r>
          </w:p>
        </w:tc>
      </w:tr>
      <w:tr w14:paraId="0DCAE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777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抗拒绝服务攻击能力</w:t>
            </w:r>
          </w:p>
        </w:tc>
        <w:tc>
          <w:tcPr>
            <w:tcW w:w="4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8D1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9、抗拒绝服务攻击功能：能够抵御ICMPFlood、UDPFlood、SYNFlood、TearDrop、Land和Ping of Death等基本的拒绝服务攻击。</w:t>
            </w:r>
          </w:p>
        </w:tc>
      </w:tr>
      <w:tr w14:paraId="4A4D2D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714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云联防</w:t>
            </w:r>
          </w:p>
        </w:tc>
        <w:tc>
          <w:tcPr>
            <w:tcW w:w="4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78A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10、云联防功能：支持与云端联动，至少实现病毒云查杀、URL云识别、应用云识别、云沙箱、应急响应、威胁情报云检测等功能。</w:t>
            </w:r>
          </w:p>
        </w:tc>
      </w:tr>
      <w:tr w14:paraId="46E12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579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管理能力</w:t>
            </w:r>
          </w:p>
        </w:tc>
        <w:tc>
          <w:tcPr>
            <w:tcW w:w="4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FC4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11、为保证防火墙产品操作和管理能力，具备快速上线部署，威胁情报，网元服务链引流，共享接入管理，Restful API配置管理功能。</w:t>
            </w:r>
          </w:p>
        </w:tc>
      </w:tr>
      <w:tr w14:paraId="1D556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C70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服务要求</w:t>
            </w:r>
          </w:p>
        </w:tc>
        <w:tc>
          <w:tcPr>
            <w:tcW w:w="4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5D8C9">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12、需提供厂家授权书及3年售后服务承诺函。</w:t>
            </w:r>
          </w:p>
        </w:tc>
      </w:tr>
    </w:tbl>
    <w:p w14:paraId="36E74CCE">
      <w:pPr>
        <w:rPr>
          <w:rFonts w:hint="eastAsia" w:ascii="宋体" w:hAnsi="宋体" w:eastAsia="宋体" w:cs="宋体"/>
          <w:b/>
          <w:bCs/>
          <w:sz w:val="24"/>
          <w:szCs w:val="24"/>
          <w:lang w:val="en-US" w:eastAsia="zh-CN"/>
        </w:rPr>
      </w:pPr>
    </w:p>
    <w:p w14:paraId="1D7459C9">
      <w:pPr>
        <w:rPr>
          <w:rFonts w:hint="eastAsia" w:ascii="宋体" w:hAnsi="宋体" w:eastAsia="宋体" w:cs="宋体"/>
          <w:b/>
          <w:bCs/>
          <w:sz w:val="24"/>
          <w:szCs w:val="24"/>
        </w:rPr>
      </w:pPr>
    </w:p>
    <w:p w14:paraId="4EA9D518">
      <w:pPr>
        <w:rPr>
          <w:rFonts w:hint="eastAsia" w:ascii="宋体" w:hAnsi="宋体" w:eastAsia="宋体" w:cs="宋体"/>
          <w:b/>
          <w:bCs/>
          <w:sz w:val="24"/>
          <w:szCs w:val="24"/>
        </w:rPr>
      </w:pPr>
    </w:p>
    <w:p w14:paraId="00678D0D">
      <w:pPr>
        <w:rPr>
          <w:rFonts w:hint="eastAsia" w:ascii="宋体" w:hAnsi="宋体" w:eastAsia="宋体" w:cs="宋体"/>
          <w:b/>
          <w:bCs/>
          <w:sz w:val="24"/>
          <w:szCs w:val="24"/>
        </w:rPr>
      </w:pPr>
    </w:p>
    <w:p w14:paraId="12BF50AB">
      <w:pPr>
        <w:rPr>
          <w:rFonts w:hint="eastAsia" w:ascii="宋体" w:hAnsi="宋体" w:eastAsia="宋体" w:cs="宋体"/>
          <w:b/>
          <w:bCs/>
          <w:sz w:val="24"/>
          <w:szCs w:val="24"/>
        </w:rPr>
      </w:pPr>
    </w:p>
    <w:p w14:paraId="1EAC92C6">
      <w:pPr>
        <w:rPr>
          <w:rFonts w:hint="eastAsia" w:ascii="宋体" w:hAnsi="宋体" w:eastAsia="宋体" w:cs="宋体"/>
          <w:b/>
          <w:bCs/>
          <w:sz w:val="24"/>
          <w:szCs w:val="24"/>
        </w:rPr>
      </w:pPr>
    </w:p>
    <w:p w14:paraId="74CDC212">
      <w:pPr>
        <w:rPr>
          <w:rFonts w:hint="eastAsia" w:ascii="宋体" w:hAnsi="宋体" w:eastAsia="宋体" w:cs="宋体"/>
          <w:b/>
          <w:bCs/>
          <w:sz w:val="24"/>
          <w:szCs w:val="24"/>
        </w:rPr>
      </w:pPr>
    </w:p>
    <w:p w14:paraId="16FAE49A">
      <w:pPr>
        <w:rPr>
          <w:rFonts w:hint="eastAsia" w:ascii="宋体" w:hAnsi="宋体" w:eastAsia="宋体" w:cs="宋体"/>
          <w:b/>
          <w:bCs/>
          <w:sz w:val="24"/>
          <w:szCs w:val="24"/>
        </w:rPr>
      </w:pPr>
    </w:p>
    <w:p w14:paraId="0D6F869F">
      <w:pPr>
        <w:rPr>
          <w:rFonts w:hint="eastAsia" w:ascii="宋体" w:hAnsi="宋体" w:eastAsia="宋体" w:cs="宋体"/>
          <w:b/>
          <w:bCs/>
          <w:sz w:val="24"/>
          <w:szCs w:val="24"/>
        </w:rPr>
      </w:pPr>
    </w:p>
    <w:p w14:paraId="5D9311E3">
      <w:pPr>
        <w:rPr>
          <w:rFonts w:hint="eastAsia" w:ascii="宋体" w:hAnsi="宋体" w:eastAsia="宋体" w:cs="宋体"/>
          <w:b/>
          <w:bCs/>
          <w:sz w:val="24"/>
          <w:szCs w:val="24"/>
        </w:rPr>
      </w:pPr>
    </w:p>
    <w:p w14:paraId="36F160E4">
      <w:pPr>
        <w:rPr>
          <w:rFonts w:hint="eastAsia" w:ascii="宋体" w:hAnsi="宋体" w:eastAsia="宋体" w:cs="宋体"/>
          <w:b/>
          <w:bCs/>
          <w:sz w:val="24"/>
          <w:szCs w:val="24"/>
        </w:rPr>
      </w:pPr>
    </w:p>
    <w:p w14:paraId="56E0FB75">
      <w:pPr>
        <w:rPr>
          <w:rFonts w:hint="eastAsia" w:ascii="宋体" w:hAnsi="宋体" w:eastAsia="宋体" w:cs="宋体"/>
          <w:b/>
          <w:bCs/>
          <w:sz w:val="24"/>
          <w:szCs w:val="24"/>
        </w:rPr>
      </w:pPr>
    </w:p>
    <w:p w14:paraId="6E6C70FF">
      <w:pPr>
        <w:rPr>
          <w:rFonts w:hint="eastAsia" w:ascii="宋体" w:hAnsi="宋体" w:eastAsia="宋体" w:cs="宋体"/>
          <w:b/>
          <w:bCs/>
          <w:sz w:val="24"/>
          <w:szCs w:val="24"/>
        </w:rPr>
      </w:pPr>
    </w:p>
    <w:p w14:paraId="223FA3E1">
      <w:pPr>
        <w:rPr>
          <w:rFonts w:hint="eastAsia" w:ascii="宋体" w:hAnsi="宋体" w:eastAsia="宋体" w:cs="宋体"/>
          <w:b/>
          <w:bCs/>
          <w:sz w:val="24"/>
          <w:szCs w:val="24"/>
        </w:rPr>
      </w:pPr>
    </w:p>
    <w:p w14:paraId="7916EEC3">
      <w:pPr>
        <w:rPr>
          <w:rFonts w:hint="eastAsia" w:ascii="宋体" w:hAnsi="宋体" w:eastAsia="宋体" w:cs="宋体"/>
          <w:b/>
          <w:bCs/>
          <w:sz w:val="24"/>
          <w:szCs w:val="24"/>
        </w:rPr>
      </w:pPr>
    </w:p>
    <w:p w14:paraId="2205AF8F">
      <w:pPr>
        <w:rPr>
          <w:rFonts w:hint="default" w:ascii="宋体" w:hAnsi="宋体" w:eastAsia="宋体" w:cs="宋体"/>
          <w:b/>
          <w:bCs/>
          <w:sz w:val="24"/>
          <w:szCs w:val="24"/>
          <w:lang w:val="en-US" w:eastAsia="zh-CN"/>
        </w:rPr>
      </w:pPr>
      <w:r>
        <w:rPr>
          <w:rFonts w:hint="eastAsia" w:ascii="宋体" w:hAnsi="宋体" w:eastAsia="宋体" w:cs="宋体"/>
          <w:b/>
          <w:bCs/>
          <w:sz w:val="24"/>
          <w:szCs w:val="24"/>
        </w:rPr>
        <w:t>安全隔离与信息交换系统</w:t>
      </w: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1台）</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0"/>
        <w:gridCol w:w="1948"/>
        <w:gridCol w:w="6379"/>
      </w:tblGrid>
      <w:tr w14:paraId="59C4D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0" w:type="dxa"/>
            <w:vAlign w:val="center"/>
          </w:tcPr>
          <w:p w14:paraId="6AE128A7">
            <w:pPr>
              <w:spacing w:line="240" w:lineRule="auto"/>
              <w:jc w:val="center"/>
              <w:rPr>
                <w:rFonts w:hint="eastAsia"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序号</w:t>
            </w:r>
          </w:p>
        </w:tc>
        <w:tc>
          <w:tcPr>
            <w:tcW w:w="1948" w:type="dxa"/>
            <w:vAlign w:val="center"/>
          </w:tcPr>
          <w:p w14:paraId="36C7AF88">
            <w:pPr>
              <w:spacing w:line="240" w:lineRule="auto"/>
              <w:jc w:val="center"/>
              <w:rPr>
                <w:rFonts w:hint="eastAsia"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指标项</w:t>
            </w:r>
          </w:p>
        </w:tc>
        <w:tc>
          <w:tcPr>
            <w:tcW w:w="6379" w:type="dxa"/>
            <w:vAlign w:val="center"/>
          </w:tcPr>
          <w:p w14:paraId="15B64D7F">
            <w:pPr>
              <w:spacing w:line="240" w:lineRule="auto"/>
              <w:jc w:val="center"/>
              <w:rPr>
                <w:rFonts w:hint="eastAsia"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要求</w:t>
            </w:r>
          </w:p>
        </w:tc>
      </w:tr>
      <w:tr w14:paraId="0F31B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0" w:type="dxa"/>
            <w:vAlign w:val="center"/>
          </w:tcPr>
          <w:p w14:paraId="3FB9C20A">
            <w:pPr>
              <w:spacing w:line="24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w:t>
            </w:r>
          </w:p>
        </w:tc>
        <w:tc>
          <w:tcPr>
            <w:tcW w:w="1948" w:type="dxa"/>
            <w:vAlign w:val="center"/>
          </w:tcPr>
          <w:p w14:paraId="03CBF593">
            <w:pPr>
              <w:spacing w:line="24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基本要求</w:t>
            </w:r>
          </w:p>
        </w:tc>
        <w:tc>
          <w:tcPr>
            <w:tcW w:w="6379" w:type="dxa"/>
            <w:vAlign w:val="center"/>
          </w:tcPr>
          <w:p w14:paraId="2099568E">
            <w:pPr>
              <w:spacing w:line="240" w:lineRule="auto"/>
              <w:jc w:val="both"/>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采用国产化飞腾处理器、国产化银河麒麟操作系统，标准1U机架式设备，液晶屏；</w:t>
            </w:r>
          </w:p>
          <w:p w14:paraId="02C7F697">
            <w:pPr>
              <w:spacing w:line="240" w:lineRule="auto"/>
              <w:jc w:val="both"/>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内网接口：千兆电口≥4个，千兆光电复用Combo口≥2个，管理接口≥1个，1个HA口≥1个，另具备不少于1个接口扩展板卡插槽；</w:t>
            </w:r>
          </w:p>
          <w:p w14:paraId="26F8A64A">
            <w:pPr>
              <w:spacing w:line="240" w:lineRule="auto"/>
              <w:jc w:val="both"/>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外网接口：千兆电口≥4个，千兆光电复用Combo口≥2个，管理接口≥1个，1个HA口≥1个，另具备不少于1个接口扩展板卡插槽；</w:t>
            </w:r>
          </w:p>
          <w:p w14:paraId="21E595B8">
            <w:pPr>
              <w:spacing w:line="240" w:lineRule="auto"/>
              <w:jc w:val="both"/>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整机吞吐≥200Mbps，最大并发≥5万；</w:t>
            </w:r>
          </w:p>
          <w:p w14:paraId="594962D5">
            <w:pPr>
              <w:spacing w:line="240" w:lineRule="auto"/>
              <w:jc w:val="both"/>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开通文件交换、FTP访问、数据库交换、邮件传输、安全浏览、安全传输、消息传输、视频传输、工控等功能模块；</w:t>
            </w:r>
          </w:p>
          <w:p w14:paraId="1B4A2701">
            <w:pPr>
              <w:spacing w:line="240" w:lineRule="auto"/>
              <w:jc w:val="both"/>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整机质保三年。</w:t>
            </w:r>
          </w:p>
          <w:p w14:paraId="57DC3CC9">
            <w:pPr>
              <w:spacing w:line="240" w:lineRule="auto"/>
              <w:jc w:val="both"/>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本项目扩容新增 1 台网闸设备，须与采购人现场现有在用网闸设备冗余部署，实现互相备份，其中一台出现问题后另外一台可以对外提供服务。‌</w:t>
            </w:r>
          </w:p>
        </w:tc>
      </w:tr>
      <w:tr w14:paraId="5A7B3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0" w:type="dxa"/>
            <w:vAlign w:val="center"/>
          </w:tcPr>
          <w:p w14:paraId="4E652A19">
            <w:pPr>
              <w:spacing w:line="24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w:t>
            </w:r>
          </w:p>
        </w:tc>
        <w:tc>
          <w:tcPr>
            <w:tcW w:w="1948" w:type="dxa"/>
            <w:vAlign w:val="center"/>
          </w:tcPr>
          <w:p w14:paraId="67F186DD">
            <w:pPr>
              <w:spacing w:line="24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系统架构</w:t>
            </w:r>
          </w:p>
        </w:tc>
        <w:tc>
          <w:tcPr>
            <w:tcW w:w="6379" w:type="dxa"/>
            <w:vAlign w:val="center"/>
          </w:tcPr>
          <w:p w14:paraId="19C70C54">
            <w:pPr>
              <w:spacing w:line="240" w:lineRule="auto"/>
              <w:jc w:val="both"/>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采用“2+1”系统架构，即由两个主机系统和一个隔离交换模块组成；隔离交换模块基于专用芯片实现，保证数据在搬移的时间内，内、外网隔离卡与内、外网系统为断开状态。</w:t>
            </w:r>
          </w:p>
        </w:tc>
      </w:tr>
      <w:tr w14:paraId="779FB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0" w:type="dxa"/>
            <w:vAlign w:val="center"/>
          </w:tcPr>
          <w:p w14:paraId="3D62896A">
            <w:pPr>
              <w:spacing w:line="24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w:t>
            </w:r>
          </w:p>
        </w:tc>
        <w:tc>
          <w:tcPr>
            <w:tcW w:w="1948" w:type="dxa"/>
            <w:vAlign w:val="center"/>
          </w:tcPr>
          <w:p w14:paraId="288519D0">
            <w:pPr>
              <w:spacing w:line="24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系统管理</w:t>
            </w:r>
          </w:p>
        </w:tc>
        <w:tc>
          <w:tcPr>
            <w:tcW w:w="6379" w:type="dxa"/>
            <w:vAlign w:val="center"/>
          </w:tcPr>
          <w:p w14:paraId="1D1669B1">
            <w:pPr>
              <w:spacing w:line="240" w:lineRule="auto"/>
              <w:jc w:val="both"/>
              <w:rPr>
                <w:rFonts w:hint="eastAsia" w:ascii="宋体" w:hAnsi="宋体" w:eastAsia="宋体" w:cs="宋体"/>
                <w:b w:val="0"/>
                <w:bCs w:val="0"/>
                <w:sz w:val="21"/>
                <w:szCs w:val="21"/>
                <w:highlight w:val="none"/>
                <w:vertAlign w:val="baseline"/>
                <w:lang w:val="en-US" w:eastAsia="zh-CN"/>
              </w:rPr>
            </w:pPr>
            <w:r>
              <w:rPr>
                <w:rFonts w:hint="eastAsia" w:ascii="宋体" w:hAnsi="宋体" w:eastAsia="宋体" w:cs="宋体"/>
                <w:b w:val="0"/>
                <w:bCs w:val="0"/>
                <w:sz w:val="21"/>
                <w:szCs w:val="21"/>
                <w:highlight w:val="none"/>
                <w:vertAlign w:val="baseline"/>
                <w:lang w:val="en-US" w:eastAsia="zh-CN"/>
              </w:rPr>
              <w:t>内、外网主机分别具备三系统，即系统A、系统B和备份系统；支持在WEB界面上配置启动顺序，在A系统发生故障时，可以切换到B系统；支持将当前运行系统备份。</w:t>
            </w:r>
          </w:p>
        </w:tc>
      </w:tr>
      <w:tr w14:paraId="42B42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0" w:type="dxa"/>
            <w:vAlign w:val="center"/>
          </w:tcPr>
          <w:p w14:paraId="1BA66572">
            <w:pPr>
              <w:spacing w:line="24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4</w:t>
            </w:r>
          </w:p>
        </w:tc>
        <w:tc>
          <w:tcPr>
            <w:tcW w:w="1948" w:type="dxa"/>
            <w:vAlign w:val="center"/>
          </w:tcPr>
          <w:p w14:paraId="3855771F">
            <w:pPr>
              <w:spacing w:line="24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网络与接口</w:t>
            </w:r>
          </w:p>
        </w:tc>
        <w:tc>
          <w:tcPr>
            <w:tcW w:w="6379" w:type="dxa"/>
            <w:vAlign w:val="center"/>
          </w:tcPr>
          <w:p w14:paraId="28F7529B">
            <w:pPr>
              <w:spacing w:line="240" w:lineRule="auto"/>
              <w:jc w:val="both"/>
              <w:rPr>
                <w:rFonts w:hint="eastAsia" w:ascii="宋体" w:hAnsi="宋体" w:eastAsia="宋体" w:cs="宋体"/>
                <w:b w:val="0"/>
                <w:bCs w:val="0"/>
                <w:sz w:val="21"/>
                <w:szCs w:val="21"/>
                <w:highlight w:val="none"/>
                <w:vertAlign w:val="baseline"/>
                <w:lang w:val="en-US" w:eastAsia="zh-CN"/>
              </w:rPr>
            </w:pPr>
            <w:r>
              <w:rPr>
                <w:rFonts w:hint="eastAsia" w:ascii="宋体" w:hAnsi="宋体" w:eastAsia="宋体" w:cs="宋体"/>
                <w:b w:val="0"/>
                <w:bCs w:val="0"/>
                <w:sz w:val="21"/>
                <w:szCs w:val="21"/>
                <w:highlight w:val="none"/>
                <w:vertAlign w:val="baseline"/>
                <w:lang w:val="en-US" w:eastAsia="zh-CN"/>
              </w:rPr>
              <w:t>支持将网口配置成VLAN接口，处理相同VLAN ID的数据包。</w:t>
            </w:r>
          </w:p>
        </w:tc>
      </w:tr>
      <w:tr w14:paraId="08F92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0" w:type="dxa"/>
            <w:vAlign w:val="center"/>
          </w:tcPr>
          <w:p w14:paraId="50C7F859">
            <w:pPr>
              <w:spacing w:line="24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5</w:t>
            </w:r>
          </w:p>
        </w:tc>
        <w:tc>
          <w:tcPr>
            <w:tcW w:w="1948" w:type="dxa"/>
            <w:vAlign w:val="center"/>
          </w:tcPr>
          <w:p w14:paraId="02CF9BF8">
            <w:pPr>
              <w:spacing w:line="24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SDP联动</w:t>
            </w:r>
          </w:p>
        </w:tc>
        <w:tc>
          <w:tcPr>
            <w:tcW w:w="6379" w:type="dxa"/>
            <w:vAlign w:val="center"/>
          </w:tcPr>
          <w:p w14:paraId="585219DF">
            <w:pPr>
              <w:spacing w:line="240" w:lineRule="auto"/>
              <w:jc w:val="both"/>
              <w:rPr>
                <w:rFonts w:hint="eastAsia" w:ascii="宋体" w:hAnsi="宋体" w:eastAsia="宋体" w:cs="宋体"/>
                <w:b w:val="0"/>
                <w:bCs w:val="0"/>
                <w:sz w:val="21"/>
                <w:szCs w:val="21"/>
                <w:highlight w:val="none"/>
                <w:vertAlign w:val="baseline"/>
                <w:lang w:val="en-US" w:eastAsia="zh-CN"/>
              </w:rPr>
            </w:pPr>
            <w:r>
              <w:rPr>
                <w:rFonts w:hint="eastAsia" w:ascii="宋体" w:hAnsi="宋体" w:eastAsia="宋体" w:cs="宋体"/>
                <w:b w:val="0"/>
                <w:bCs w:val="0"/>
                <w:sz w:val="21"/>
                <w:szCs w:val="21"/>
                <w:highlight w:val="none"/>
                <w:vertAlign w:val="baseline"/>
                <w:lang w:val="en-US" w:eastAsia="zh-CN"/>
              </w:rPr>
              <w:t>支持与SDP产品联动，对用户进行身份验证和授权，控制用户与网闸服务之间的连接，实现网闸外侧的业务端口隐藏，缩减网络暴露面，达到提高数据交换安全性的目的。</w:t>
            </w:r>
          </w:p>
        </w:tc>
      </w:tr>
      <w:tr w14:paraId="28E03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0" w:type="dxa"/>
            <w:vMerge w:val="restart"/>
            <w:vAlign w:val="center"/>
          </w:tcPr>
          <w:p w14:paraId="0EF7229C">
            <w:pPr>
              <w:spacing w:line="24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6</w:t>
            </w:r>
          </w:p>
        </w:tc>
        <w:tc>
          <w:tcPr>
            <w:tcW w:w="1948" w:type="dxa"/>
            <w:vMerge w:val="restart"/>
            <w:vAlign w:val="center"/>
          </w:tcPr>
          <w:p w14:paraId="0043428E">
            <w:pPr>
              <w:spacing w:line="24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强制访问控制</w:t>
            </w:r>
          </w:p>
        </w:tc>
        <w:tc>
          <w:tcPr>
            <w:tcW w:w="6379" w:type="dxa"/>
            <w:vAlign w:val="center"/>
          </w:tcPr>
          <w:p w14:paraId="55A723C1">
            <w:pPr>
              <w:spacing w:line="240" w:lineRule="auto"/>
              <w:jc w:val="both"/>
              <w:rPr>
                <w:rFonts w:hint="eastAsia" w:ascii="宋体" w:hAnsi="宋体" w:eastAsia="宋体" w:cs="宋体"/>
                <w:b w:val="0"/>
                <w:bCs w:val="0"/>
                <w:sz w:val="21"/>
                <w:szCs w:val="21"/>
                <w:highlight w:val="none"/>
                <w:vertAlign w:val="baseline"/>
                <w:lang w:val="en-US" w:eastAsia="zh-CN"/>
              </w:rPr>
            </w:pPr>
            <w:r>
              <w:rPr>
                <w:rFonts w:hint="eastAsia" w:ascii="宋体" w:hAnsi="宋体" w:eastAsia="宋体" w:cs="宋体"/>
                <w:b w:val="0"/>
                <w:bCs w:val="0"/>
                <w:sz w:val="21"/>
                <w:szCs w:val="21"/>
                <w:highlight w:val="none"/>
                <w:vertAlign w:val="baseline"/>
                <w:lang w:val="en-US" w:eastAsia="zh-CN"/>
              </w:rPr>
              <w:t>支持基于动态密码+本地密码的双因子认证方式。</w:t>
            </w:r>
          </w:p>
        </w:tc>
      </w:tr>
      <w:tr w14:paraId="7F3AA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0" w:type="dxa"/>
            <w:vMerge w:val="continue"/>
            <w:vAlign w:val="center"/>
          </w:tcPr>
          <w:p w14:paraId="77763831">
            <w:pPr>
              <w:spacing w:line="240" w:lineRule="auto"/>
              <w:jc w:val="center"/>
              <w:rPr>
                <w:rFonts w:hint="eastAsia" w:ascii="宋体" w:hAnsi="宋体" w:eastAsia="宋体" w:cs="宋体"/>
                <w:sz w:val="21"/>
                <w:szCs w:val="21"/>
                <w:vertAlign w:val="baseline"/>
                <w:lang w:val="en-US" w:eastAsia="zh-CN"/>
              </w:rPr>
            </w:pPr>
          </w:p>
        </w:tc>
        <w:tc>
          <w:tcPr>
            <w:tcW w:w="1948" w:type="dxa"/>
            <w:vMerge w:val="continue"/>
            <w:vAlign w:val="center"/>
          </w:tcPr>
          <w:p w14:paraId="59AA6493">
            <w:pPr>
              <w:spacing w:line="240" w:lineRule="auto"/>
              <w:jc w:val="center"/>
              <w:rPr>
                <w:rFonts w:hint="eastAsia" w:ascii="宋体" w:hAnsi="宋体" w:eastAsia="宋体" w:cs="宋体"/>
                <w:sz w:val="21"/>
                <w:szCs w:val="21"/>
                <w:vertAlign w:val="baseline"/>
                <w:lang w:val="en-US" w:eastAsia="zh-CN"/>
              </w:rPr>
            </w:pPr>
          </w:p>
        </w:tc>
        <w:tc>
          <w:tcPr>
            <w:tcW w:w="6379" w:type="dxa"/>
            <w:vAlign w:val="center"/>
          </w:tcPr>
          <w:p w14:paraId="075A50CB">
            <w:pPr>
              <w:spacing w:line="240" w:lineRule="auto"/>
              <w:jc w:val="both"/>
              <w:rPr>
                <w:rFonts w:hint="eastAsia" w:ascii="宋体" w:hAnsi="宋体" w:eastAsia="宋体" w:cs="宋体"/>
                <w:b w:val="0"/>
                <w:bCs w:val="0"/>
                <w:sz w:val="21"/>
                <w:szCs w:val="21"/>
                <w:highlight w:val="none"/>
                <w:vertAlign w:val="baseline"/>
                <w:lang w:val="en-US" w:eastAsia="zh-CN"/>
              </w:rPr>
            </w:pPr>
            <w:r>
              <w:rPr>
                <w:rFonts w:hint="eastAsia" w:ascii="宋体" w:hAnsi="宋体" w:eastAsia="宋体" w:cs="宋体"/>
                <w:b w:val="0"/>
                <w:bCs w:val="0"/>
                <w:sz w:val="21"/>
                <w:szCs w:val="21"/>
                <w:highlight w:val="none"/>
                <w:vertAlign w:val="baseline"/>
                <w:lang w:val="en-US" w:eastAsia="zh-CN"/>
              </w:rPr>
              <w:t>支持WEB认证方式和专用客户端两种认证方式。</w:t>
            </w:r>
          </w:p>
        </w:tc>
      </w:tr>
      <w:tr w14:paraId="11518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0" w:type="dxa"/>
            <w:vMerge w:val="restart"/>
            <w:vAlign w:val="center"/>
          </w:tcPr>
          <w:p w14:paraId="5BB76BA0">
            <w:pPr>
              <w:spacing w:line="24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7</w:t>
            </w:r>
          </w:p>
        </w:tc>
        <w:tc>
          <w:tcPr>
            <w:tcW w:w="1948" w:type="dxa"/>
            <w:vMerge w:val="restart"/>
            <w:vAlign w:val="center"/>
          </w:tcPr>
          <w:p w14:paraId="48E35F1B">
            <w:pPr>
              <w:spacing w:line="24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文件交换</w:t>
            </w:r>
          </w:p>
        </w:tc>
        <w:tc>
          <w:tcPr>
            <w:tcW w:w="6379" w:type="dxa"/>
            <w:vAlign w:val="center"/>
          </w:tcPr>
          <w:p w14:paraId="4F61BE1F">
            <w:pPr>
              <w:spacing w:line="240" w:lineRule="auto"/>
              <w:jc w:val="both"/>
              <w:rPr>
                <w:rFonts w:hint="eastAsia" w:ascii="宋体" w:hAnsi="宋体" w:eastAsia="宋体" w:cs="宋体"/>
                <w:b w:val="0"/>
                <w:bCs w:val="0"/>
                <w:sz w:val="21"/>
                <w:szCs w:val="21"/>
                <w:highlight w:val="none"/>
                <w:vertAlign w:val="baseline"/>
                <w:lang w:val="en-US" w:eastAsia="zh-CN"/>
              </w:rPr>
            </w:pPr>
            <w:r>
              <w:rPr>
                <w:rFonts w:hint="eastAsia" w:ascii="宋体" w:hAnsi="宋体" w:eastAsia="宋体" w:cs="宋体"/>
                <w:b w:val="0"/>
                <w:bCs w:val="0"/>
                <w:sz w:val="21"/>
                <w:szCs w:val="21"/>
                <w:highlight w:val="none"/>
                <w:vertAlign w:val="baseline"/>
                <w:lang w:val="en-US" w:eastAsia="zh-CN"/>
              </w:rPr>
              <w:t>支持文件格式特征过滤；并能提供具备图形化界面的文件类型判断工具以帮助用户识别不常见文件类型。</w:t>
            </w:r>
          </w:p>
        </w:tc>
      </w:tr>
      <w:tr w14:paraId="2DA25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0" w:type="dxa"/>
            <w:vMerge w:val="continue"/>
            <w:vAlign w:val="center"/>
          </w:tcPr>
          <w:p w14:paraId="4D2AA04D">
            <w:pPr>
              <w:spacing w:line="240" w:lineRule="auto"/>
              <w:jc w:val="center"/>
              <w:rPr>
                <w:rFonts w:hint="eastAsia" w:ascii="宋体" w:hAnsi="宋体" w:eastAsia="宋体" w:cs="宋体"/>
                <w:sz w:val="21"/>
                <w:szCs w:val="21"/>
                <w:vertAlign w:val="baseline"/>
                <w:lang w:val="en-US" w:eastAsia="zh-CN"/>
              </w:rPr>
            </w:pPr>
          </w:p>
        </w:tc>
        <w:tc>
          <w:tcPr>
            <w:tcW w:w="1948" w:type="dxa"/>
            <w:vMerge w:val="continue"/>
            <w:vAlign w:val="center"/>
          </w:tcPr>
          <w:p w14:paraId="210B1E66">
            <w:pPr>
              <w:spacing w:line="240" w:lineRule="auto"/>
              <w:jc w:val="center"/>
              <w:rPr>
                <w:rFonts w:hint="eastAsia" w:ascii="宋体" w:hAnsi="宋体" w:eastAsia="宋体" w:cs="宋体"/>
                <w:sz w:val="21"/>
                <w:szCs w:val="21"/>
                <w:vertAlign w:val="baseline"/>
                <w:lang w:val="en-US" w:eastAsia="zh-CN"/>
              </w:rPr>
            </w:pPr>
          </w:p>
        </w:tc>
        <w:tc>
          <w:tcPr>
            <w:tcW w:w="6379" w:type="dxa"/>
            <w:vAlign w:val="center"/>
          </w:tcPr>
          <w:p w14:paraId="4B220B34">
            <w:pPr>
              <w:spacing w:line="240" w:lineRule="auto"/>
              <w:jc w:val="both"/>
              <w:rPr>
                <w:rFonts w:hint="eastAsia" w:ascii="宋体" w:hAnsi="宋体" w:eastAsia="宋体" w:cs="宋体"/>
                <w:b w:val="0"/>
                <w:bCs w:val="0"/>
                <w:sz w:val="21"/>
                <w:szCs w:val="21"/>
                <w:highlight w:val="none"/>
                <w:vertAlign w:val="baseline"/>
                <w:lang w:val="en-US" w:eastAsia="zh-CN"/>
              </w:rPr>
            </w:pPr>
            <w:r>
              <w:rPr>
                <w:rFonts w:hint="eastAsia" w:ascii="宋体" w:hAnsi="宋体" w:eastAsia="宋体" w:cs="宋体"/>
                <w:b w:val="0"/>
                <w:bCs w:val="0"/>
                <w:sz w:val="21"/>
                <w:szCs w:val="21"/>
                <w:highlight w:val="none"/>
                <w:vertAlign w:val="baseline"/>
                <w:lang w:val="en-US" w:eastAsia="zh-CN"/>
              </w:rPr>
              <w:t>支持单任务文件统计及查询，可展示任务号、文件数、文件大小、文件名称、发送时间等信息，并根据结果进行查询。</w:t>
            </w:r>
          </w:p>
        </w:tc>
      </w:tr>
      <w:tr w14:paraId="4496E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0" w:type="dxa"/>
            <w:vMerge w:val="restart"/>
            <w:vAlign w:val="center"/>
          </w:tcPr>
          <w:p w14:paraId="495D7A51">
            <w:pPr>
              <w:spacing w:line="24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8</w:t>
            </w:r>
          </w:p>
        </w:tc>
        <w:tc>
          <w:tcPr>
            <w:tcW w:w="1948" w:type="dxa"/>
            <w:vMerge w:val="restart"/>
            <w:vAlign w:val="center"/>
          </w:tcPr>
          <w:p w14:paraId="5D09E37E">
            <w:pPr>
              <w:spacing w:line="24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文件快递（网盘）</w:t>
            </w:r>
          </w:p>
        </w:tc>
        <w:tc>
          <w:tcPr>
            <w:tcW w:w="6379" w:type="dxa"/>
            <w:vAlign w:val="center"/>
          </w:tcPr>
          <w:p w14:paraId="3A74B064">
            <w:pPr>
              <w:spacing w:line="240" w:lineRule="auto"/>
              <w:jc w:val="both"/>
              <w:rPr>
                <w:rFonts w:hint="eastAsia" w:ascii="宋体" w:hAnsi="宋体" w:eastAsia="宋体" w:cs="宋体"/>
                <w:b w:val="0"/>
                <w:bCs w:val="0"/>
                <w:sz w:val="21"/>
                <w:szCs w:val="21"/>
                <w:highlight w:val="none"/>
                <w:vertAlign w:val="baseline"/>
                <w:lang w:val="en-US" w:eastAsia="zh-CN"/>
              </w:rPr>
            </w:pPr>
            <w:r>
              <w:rPr>
                <w:rFonts w:hint="eastAsia" w:ascii="宋体" w:hAnsi="宋体" w:eastAsia="宋体" w:cs="宋体"/>
                <w:b w:val="0"/>
                <w:bCs w:val="0"/>
                <w:sz w:val="21"/>
                <w:szCs w:val="21"/>
                <w:highlight w:val="none"/>
                <w:vertAlign w:val="baseline"/>
                <w:lang w:val="en-US" w:eastAsia="zh-CN"/>
              </w:rPr>
              <w:t>支持对外开启WEB服务，供用户登录进行文件上传/下载操作。</w:t>
            </w:r>
          </w:p>
        </w:tc>
      </w:tr>
      <w:tr w14:paraId="67050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0" w:type="dxa"/>
            <w:vMerge w:val="continue"/>
            <w:vAlign w:val="center"/>
          </w:tcPr>
          <w:p w14:paraId="30E816FA">
            <w:pPr>
              <w:spacing w:line="240" w:lineRule="auto"/>
              <w:jc w:val="center"/>
              <w:rPr>
                <w:rFonts w:hint="eastAsia" w:ascii="宋体" w:hAnsi="宋体" w:eastAsia="宋体" w:cs="宋体"/>
                <w:sz w:val="21"/>
                <w:szCs w:val="21"/>
                <w:vertAlign w:val="baseline"/>
                <w:lang w:val="en-US" w:eastAsia="zh-CN"/>
              </w:rPr>
            </w:pPr>
          </w:p>
        </w:tc>
        <w:tc>
          <w:tcPr>
            <w:tcW w:w="1948" w:type="dxa"/>
            <w:vMerge w:val="continue"/>
            <w:vAlign w:val="center"/>
          </w:tcPr>
          <w:p w14:paraId="3BB8B5C5">
            <w:pPr>
              <w:spacing w:line="240" w:lineRule="auto"/>
              <w:jc w:val="center"/>
              <w:rPr>
                <w:rFonts w:hint="eastAsia" w:ascii="宋体" w:hAnsi="宋体" w:eastAsia="宋体" w:cs="宋体"/>
                <w:sz w:val="21"/>
                <w:szCs w:val="21"/>
                <w:vertAlign w:val="baseline"/>
                <w:lang w:val="en-US" w:eastAsia="zh-CN"/>
              </w:rPr>
            </w:pPr>
          </w:p>
        </w:tc>
        <w:tc>
          <w:tcPr>
            <w:tcW w:w="6379" w:type="dxa"/>
            <w:vAlign w:val="center"/>
          </w:tcPr>
          <w:p w14:paraId="6301C1BD">
            <w:pPr>
              <w:spacing w:line="240" w:lineRule="auto"/>
              <w:jc w:val="both"/>
              <w:rPr>
                <w:rFonts w:hint="eastAsia" w:ascii="宋体" w:hAnsi="宋体" w:eastAsia="宋体" w:cs="宋体"/>
                <w:b w:val="0"/>
                <w:bCs w:val="0"/>
                <w:sz w:val="21"/>
                <w:szCs w:val="21"/>
                <w:highlight w:val="none"/>
                <w:vertAlign w:val="baseline"/>
                <w:lang w:val="en-US" w:eastAsia="zh-CN"/>
              </w:rPr>
            </w:pPr>
            <w:r>
              <w:rPr>
                <w:rFonts w:hint="eastAsia" w:ascii="宋体" w:hAnsi="宋体" w:eastAsia="宋体" w:cs="宋体"/>
                <w:b w:val="0"/>
                <w:bCs w:val="0"/>
                <w:sz w:val="21"/>
                <w:szCs w:val="21"/>
                <w:highlight w:val="none"/>
                <w:vertAlign w:val="baseline"/>
                <w:lang w:val="en-US" w:eastAsia="zh-CN"/>
              </w:rPr>
              <w:t>至少支持两种文件存储方式，设备本地硬盘或远端samba共享。</w:t>
            </w:r>
          </w:p>
        </w:tc>
      </w:tr>
      <w:tr w14:paraId="24125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0" w:type="dxa"/>
            <w:vMerge w:val="restart"/>
            <w:vAlign w:val="center"/>
          </w:tcPr>
          <w:p w14:paraId="17D4359D">
            <w:pPr>
              <w:spacing w:line="24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9</w:t>
            </w:r>
          </w:p>
        </w:tc>
        <w:tc>
          <w:tcPr>
            <w:tcW w:w="1948" w:type="dxa"/>
            <w:vMerge w:val="restart"/>
            <w:vAlign w:val="center"/>
          </w:tcPr>
          <w:p w14:paraId="08538D25">
            <w:pPr>
              <w:spacing w:line="24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数据库同步</w:t>
            </w:r>
          </w:p>
        </w:tc>
        <w:tc>
          <w:tcPr>
            <w:tcW w:w="6379" w:type="dxa"/>
            <w:vAlign w:val="center"/>
          </w:tcPr>
          <w:p w14:paraId="022D82EE">
            <w:pPr>
              <w:spacing w:line="240" w:lineRule="auto"/>
              <w:jc w:val="both"/>
              <w:rPr>
                <w:rFonts w:hint="eastAsia" w:ascii="宋体" w:hAnsi="宋体" w:eastAsia="宋体" w:cs="宋体"/>
                <w:b w:val="0"/>
                <w:bCs w:val="0"/>
                <w:sz w:val="21"/>
                <w:szCs w:val="21"/>
                <w:highlight w:val="none"/>
                <w:vertAlign w:val="baseline"/>
                <w:lang w:val="en-US" w:eastAsia="zh-CN"/>
              </w:rPr>
            </w:pPr>
            <w:r>
              <w:rPr>
                <w:rFonts w:hint="eastAsia" w:ascii="宋体" w:hAnsi="宋体" w:eastAsia="宋体" w:cs="宋体"/>
                <w:b w:val="0"/>
                <w:bCs w:val="0"/>
                <w:sz w:val="21"/>
                <w:szCs w:val="21"/>
                <w:highlight w:val="none"/>
                <w:vertAlign w:val="baseline"/>
                <w:lang w:val="en-US" w:eastAsia="zh-CN"/>
              </w:rPr>
              <w:t>数据库同步客户端（非浏览器）支持Windows、Linux等主流平台，均具备图形化管理界面。</w:t>
            </w:r>
          </w:p>
        </w:tc>
      </w:tr>
      <w:tr w14:paraId="5D1F8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0" w:type="dxa"/>
            <w:vMerge w:val="continue"/>
            <w:vAlign w:val="center"/>
          </w:tcPr>
          <w:p w14:paraId="6ED775B7">
            <w:pPr>
              <w:spacing w:line="240" w:lineRule="auto"/>
              <w:jc w:val="center"/>
              <w:rPr>
                <w:rFonts w:hint="eastAsia" w:ascii="宋体" w:hAnsi="宋体" w:eastAsia="宋体" w:cs="宋体"/>
                <w:sz w:val="21"/>
                <w:szCs w:val="21"/>
                <w:vertAlign w:val="baseline"/>
                <w:lang w:val="en-US" w:eastAsia="zh-CN"/>
              </w:rPr>
            </w:pPr>
          </w:p>
        </w:tc>
        <w:tc>
          <w:tcPr>
            <w:tcW w:w="1948" w:type="dxa"/>
            <w:vMerge w:val="continue"/>
            <w:vAlign w:val="center"/>
          </w:tcPr>
          <w:p w14:paraId="158FF625">
            <w:pPr>
              <w:spacing w:line="240" w:lineRule="auto"/>
              <w:jc w:val="center"/>
              <w:rPr>
                <w:rFonts w:hint="eastAsia" w:ascii="宋体" w:hAnsi="宋体" w:eastAsia="宋体" w:cs="宋体"/>
                <w:sz w:val="21"/>
                <w:szCs w:val="21"/>
                <w:vertAlign w:val="baseline"/>
                <w:lang w:val="en-US" w:eastAsia="zh-CN"/>
              </w:rPr>
            </w:pPr>
          </w:p>
        </w:tc>
        <w:tc>
          <w:tcPr>
            <w:tcW w:w="6379" w:type="dxa"/>
            <w:vAlign w:val="center"/>
          </w:tcPr>
          <w:p w14:paraId="453900A3">
            <w:pPr>
              <w:spacing w:line="240" w:lineRule="auto"/>
              <w:jc w:val="both"/>
              <w:rPr>
                <w:rFonts w:hint="eastAsia" w:ascii="宋体" w:hAnsi="宋体" w:eastAsia="宋体" w:cs="宋体"/>
                <w:b w:val="0"/>
                <w:bCs w:val="0"/>
                <w:sz w:val="21"/>
                <w:szCs w:val="21"/>
                <w:highlight w:val="none"/>
                <w:vertAlign w:val="baseline"/>
                <w:lang w:val="en-US" w:eastAsia="zh-CN"/>
              </w:rPr>
            </w:pPr>
            <w:r>
              <w:rPr>
                <w:rFonts w:hint="eastAsia" w:ascii="宋体" w:hAnsi="宋体" w:eastAsia="宋体" w:cs="宋体"/>
                <w:b w:val="0"/>
                <w:bCs w:val="0"/>
                <w:sz w:val="21"/>
                <w:szCs w:val="21"/>
                <w:highlight w:val="none"/>
                <w:vertAlign w:val="baseline"/>
                <w:lang w:val="en-US" w:eastAsia="zh-CN"/>
              </w:rPr>
              <w:t>支持病毒检测；支持Oracle、SQL Server、Sybase、Db2、MySQL、MongoDB、POSTGRESQL等主流数据库；支持达梦、人大金仓、Gbase、神通数据库、博阳、瀚高等主流国产数据库。</w:t>
            </w:r>
          </w:p>
        </w:tc>
      </w:tr>
      <w:tr w14:paraId="03AA4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0" w:type="dxa"/>
            <w:vMerge w:val="continue"/>
            <w:vAlign w:val="center"/>
          </w:tcPr>
          <w:p w14:paraId="1B07EE46">
            <w:pPr>
              <w:spacing w:line="240" w:lineRule="auto"/>
              <w:jc w:val="center"/>
              <w:rPr>
                <w:rFonts w:hint="eastAsia" w:ascii="宋体" w:hAnsi="宋体" w:eastAsia="宋体" w:cs="宋体"/>
                <w:sz w:val="21"/>
                <w:szCs w:val="21"/>
                <w:vertAlign w:val="baseline"/>
                <w:lang w:val="en-US" w:eastAsia="zh-CN"/>
              </w:rPr>
            </w:pPr>
          </w:p>
        </w:tc>
        <w:tc>
          <w:tcPr>
            <w:tcW w:w="1948" w:type="dxa"/>
            <w:vMerge w:val="continue"/>
            <w:vAlign w:val="center"/>
          </w:tcPr>
          <w:p w14:paraId="49D025FC">
            <w:pPr>
              <w:spacing w:line="240" w:lineRule="auto"/>
              <w:jc w:val="center"/>
              <w:rPr>
                <w:rFonts w:hint="eastAsia" w:ascii="宋体" w:hAnsi="宋体" w:eastAsia="宋体" w:cs="宋体"/>
                <w:sz w:val="21"/>
                <w:szCs w:val="21"/>
                <w:vertAlign w:val="baseline"/>
                <w:lang w:val="en-US" w:eastAsia="zh-CN"/>
              </w:rPr>
            </w:pPr>
          </w:p>
        </w:tc>
        <w:tc>
          <w:tcPr>
            <w:tcW w:w="6379" w:type="dxa"/>
            <w:vAlign w:val="center"/>
          </w:tcPr>
          <w:p w14:paraId="4B1D4FC8">
            <w:pPr>
              <w:spacing w:line="240" w:lineRule="auto"/>
              <w:jc w:val="both"/>
              <w:rPr>
                <w:rFonts w:hint="eastAsia" w:ascii="宋体" w:hAnsi="宋体" w:eastAsia="宋体" w:cs="宋体"/>
                <w:b w:val="0"/>
                <w:bCs w:val="0"/>
                <w:sz w:val="21"/>
                <w:szCs w:val="21"/>
                <w:highlight w:val="none"/>
                <w:vertAlign w:val="baseline"/>
                <w:lang w:val="en-US" w:eastAsia="zh-CN"/>
              </w:rPr>
            </w:pPr>
            <w:r>
              <w:rPr>
                <w:rFonts w:hint="eastAsia" w:ascii="宋体" w:hAnsi="宋体" w:eastAsia="宋体" w:cs="宋体"/>
                <w:b w:val="0"/>
                <w:bCs w:val="0"/>
                <w:sz w:val="21"/>
                <w:szCs w:val="21"/>
                <w:highlight w:val="none"/>
                <w:vertAlign w:val="baseline"/>
                <w:lang w:val="en-US" w:eastAsia="zh-CN"/>
              </w:rPr>
              <w:t>支持客户端与网闸间的数字证书方式的身份认证。</w:t>
            </w:r>
          </w:p>
        </w:tc>
      </w:tr>
      <w:tr w14:paraId="0E615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0" w:type="dxa"/>
            <w:vAlign w:val="center"/>
          </w:tcPr>
          <w:p w14:paraId="737C7E6A">
            <w:pPr>
              <w:spacing w:line="24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10</w:t>
            </w:r>
          </w:p>
        </w:tc>
        <w:tc>
          <w:tcPr>
            <w:tcW w:w="1948" w:type="dxa"/>
            <w:vAlign w:val="center"/>
          </w:tcPr>
          <w:p w14:paraId="1902ADA6">
            <w:pPr>
              <w:spacing w:line="24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OPC工业控制模块</w:t>
            </w:r>
          </w:p>
        </w:tc>
        <w:tc>
          <w:tcPr>
            <w:tcW w:w="6379" w:type="dxa"/>
            <w:vAlign w:val="center"/>
          </w:tcPr>
          <w:p w14:paraId="18C68604">
            <w:pPr>
              <w:spacing w:line="240" w:lineRule="auto"/>
              <w:jc w:val="both"/>
              <w:rPr>
                <w:rFonts w:hint="eastAsia" w:ascii="宋体" w:hAnsi="宋体" w:eastAsia="宋体" w:cs="宋体"/>
                <w:b w:val="0"/>
                <w:bCs w:val="0"/>
                <w:sz w:val="21"/>
                <w:szCs w:val="21"/>
                <w:highlight w:val="none"/>
                <w:vertAlign w:val="baseline"/>
                <w:lang w:val="en-US" w:eastAsia="zh-CN"/>
              </w:rPr>
            </w:pPr>
            <w:r>
              <w:rPr>
                <w:rFonts w:hint="eastAsia" w:ascii="宋体" w:hAnsi="宋体" w:eastAsia="宋体" w:cs="宋体"/>
                <w:b w:val="0"/>
                <w:bCs w:val="0"/>
                <w:sz w:val="21"/>
                <w:szCs w:val="21"/>
                <w:highlight w:val="none"/>
                <w:vertAlign w:val="baseline"/>
                <w:lang w:val="en-US" w:eastAsia="zh-CN"/>
              </w:rPr>
              <w:t>支持S7协议访问，允许读、写、下载、上传、PLC控制等任务，支持模式切换、编程功能、循环读、块功能、CPU功能、安全功能、PBC、时间功能等扩展功能。</w:t>
            </w:r>
          </w:p>
        </w:tc>
      </w:tr>
      <w:tr w14:paraId="70560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0" w:type="dxa"/>
            <w:vAlign w:val="center"/>
          </w:tcPr>
          <w:p w14:paraId="2FE67841">
            <w:pPr>
              <w:spacing w:line="24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11</w:t>
            </w:r>
          </w:p>
        </w:tc>
        <w:tc>
          <w:tcPr>
            <w:tcW w:w="1948" w:type="dxa"/>
            <w:vAlign w:val="center"/>
          </w:tcPr>
          <w:p w14:paraId="66A8DEC6">
            <w:pPr>
              <w:spacing w:line="24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视频传输模块</w:t>
            </w:r>
          </w:p>
        </w:tc>
        <w:tc>
          <w:tcPr>
            <w:tcW w:w="6379" w:type="dxa"/>
            <w:vAlign w:val="center"/>
          </w:tcPr>
          <w:p w14:paraId="35581C67">
            <w:pPr>
              <w:spacing w:line="240" w:lineRule="auto"/>
              <w:jc w:val="both"/>
              <w:rPr>
                <w:rFonts w:hint="eastAsia" w:ascii="宋体" w:hAnsi="宋体" w:eastAsia="宋体" w:cs="宋体"/>
                <w:b w:val="0"/>
                <w:bCs w:val="0"/>
                <w:sz w:val="21"/>
                <w:szCs w:val="21"/>
                <w:highlight w:val="none"/>
                <w:vertAlign w:val="baseline"/>
                <w:lang w:val="en-US" w:eastAsia="zh-CN"/>
              </w:rPr>
            </w:pPr>
            <w:r>
              <w:rPr>
                <w:rFonts w:hint="eastAsia" w:ascii="宋体" w:hAnsi="宋体" w:eastAsia="宋体" w:cs="宋体"/>
                <w:b w:val="0"/>
                <w:bCs w:val="0"/>
                <w:sz w:val="21"/>
                <w:szCs w:val="21"/>
                <w:highlight w:val="none"/>
                <w:vertAlign w:val="baseline"/>
                <w:lang w:val="en-US" w:eastAsia="zh-CN"/>
              </w:rPr>
              <w:t>支持常见视频协议。</w:t>
            </w:r>
          </w:p>
        </w:tc>
      </w:tr>
      <w:tr w14:paraId="05854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0" w:type="dxa"/>
            <w:vAlign w:val="center"/>
          </w:tcPr>
          <w:p w14:paraId="0B805177">
            <w:pPr>
              <w:spacing w:line="240" w:lineRule="auto"/>
              <w:jc w:val="center"/>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12</w:t>
            </w:r>
          </w:p>
        </w:tc>
        <w:tc>
          <w:tcPr>
            <w:tcW w:w="1948" w:type="dxa"/>
            <w:vAlign w:val="center"/>
          </w:tcPr>
          <w:p w14:paraId="127C7D59">
            <w:pPr>
              <w:spacing w:line="24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安全管理</w:t>
            </w:r>
          </w:p>
        </w:tc>
        <w:tc>
          <w:tcPr>
            <w:tcW w:w="6379" w:type="dxa"/>
            <w:vAlign w:val="center"/>
          </w:tcPr>
          <w:p w14:paraId="4A576D6A">
            <w:pPr>
              <w:spacing w:line="240" w:lineRule="auto"/>
              <w:jc w:val="both"/>
              <w:rPr>
                <w:rFonts w:hint="eastAsia" w:ascii="宋体" w:hAnsi="宋体" w:eastAsia="宋体" w:cs="宋体"/>
                <w:b w:val="0"/>
                <w:bCs w:val="0"/>
                <w:sz w:val="21"/>
                <w:szCs w:val="21"/>
                <w:highlight w:val="none"/>
                <w:vertAlign w:val="baseline"/>
                <w:lang w:val="en-US" w:eastAsia="zh-CN"/>
              </w:rPr>
            </w:pPr>
            <w:r>
              <w:rPr>
                <w:rFonts w:hint="eastAsia" w:ascii="宋体" w:hAnsi="宋体" w:eastAsia="宋体" w:cs="宋体"/>
                <w:b w:val="0"/>
                <w:bCs w:val="0"/>
                <w:sz w:val="21"/>
                <w:szCs w:val="21"/>
                <w:highlight w:val="none"/>
                <w:vertAlign w:val="baseline"/>
                <w:lang w:val="en-US" w:eastAsia="zh-CN"/>
              </w:rPr>
              <w:t>内/外网主机系统分别具有独立管理接口，而不是采用低安全的管理方式，如通过业务口管理或通过内网唯一管理接口完成全部管理等。</w:t>
            </w:r>
          </w:p>
        </w:tc>
      </w:tr>
      <w:tr w14:paraId="74A70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0" w:type="dxa"/>
            <w:vAlign w:val="center"/>
          </w:tcPr>
          <w:p w14:paraId="682F9C97">
            <w:pPr>
              <w:spacing w:line="240" w:lineRule="auto"/>
              <w:jc w:val="center"/>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13</w:t>
            </w:r>
          </w:p>
        </w:tc>
        <w:tc>
          <w:tcPr>
            <w:tcW w:w="1948" w:type="dxa"/>
            <w:vAlign w:val="center"/>
          </w:tcPr>
          <w:p w14:paraId="5AA36684">
            <w:pPr>
              <w:spacing w:line="24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日志审计与状态监控</w:t>
            </w:r>
          </w:p>
        </w:tc>
        <w:tc>
          <w:tcPr>
            <w:tcW w:w="6379" w:type="dxa"/>
            <w:vAlign w:val="center"/>
          </w:tcPr>
          <w:p w14:paraId="100258F6">
            <w:pPr>
              <w:spacing w:line="240" w:lineRule="auto"/>
              <w:jc w:val="both"/>
              <w:rPr>
                <w:rFonts w:hint="eastAsia" w:ascii="宋体" w:hAnsi="宋体" w:eastAsia="宋体" w:cs="宋体"/>
                <w:b w:val="0"/>
                <w:bCs w:val="0"/>
                <w:sz w:val="21"/>
                <w:szCs w:val="21"/>
                <w:highlight w:val="none"/>
                <w:vertAlign w:val="baseline"/>
                <w:lang w:val="en-US" w:eastAsia="zh-CN"/>
              </w:rPr>
            </w:pPr>
            <w:r>
              <w:rPr>
                <w:rFonts w:hint="eastAsia" w:ascii="宋体" w:hAnsi="宋体" w:eastAsia="宋体" w:cs="宋体"/>
                <w:b w:val="0"/>
                <w:bCs w:val="0"/>
                <w:sz w:val="21"/>
                <w:szCs w:val="21"/>
                <w:highlight w:val="none"/>
                <w:vertAlign w:val="baseline"/>
                <w:lang w:val="en-US" w:eastAsia="zh-CN"/>
              </w:rPr>
              <w:t>日志支持远程存储，上报第三方日志服务器，支持FTP、SFTP、SMB、NFS方式上传日志。</w:t>
            </w:r>
          </w:p>
        </w:tc>
      </w:tr>
      <w:tr w14:paraId="6AFAA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0" w:type="dxa"/>
            <w:vAlign w:val="center"/>
          </w:tcPr>
          <w:p w14:paraId="31392A2C">
            <w:pPr>
              <w:spacing w:line="240" w:lineRule="auto"/>
              <w:jc w:val="center"/>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14</w:t>
            </w:r>
          </w:p>
        </w:tc>
        <w:tc>
          <w:tcPr>
            <w:tcW w:w="1948" w:type="dxa"/>
            <w:vAlign w:val="center"/>
          </w:tcPr>
          <w:p w14:paraId="136C47D5">
            <w:pPr>
              <w:spacing w:line="240" w:lineRule="auto"/>
              <w:jc w:val="center"/>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服务要求</w:t>
            </w:r>
          </w:p>
        </w:tc>
        <w:tc>
          <w:tcPr>
            <w:tcW w:w="6379" w:type="dxa"/>
            <w:vAlign w:val="center"/>
          </w:tcPr>
          <w:p w14:paraId="544FEB68">
            <w:pPr>
              <w:spacing w:line="240" w:lineRule="auto"/>
              <w:jc w:val="both"/>
              <w:rPr>
                <w:rFonts w:hint="eastAsia" w:ascii="宋体" w:hAnsi="宋体" w:eastAsia="宋体" w:cs="宋体"/>
                <w:sz w:val="21"/>
                <w:szCs w:val="21"/>
                <w:highlight w:val="none"/>
                <w:vertAlign w:val="baseline"/>
                <w:lang w:val="en-US" w:eastAsia="zh-CN"/>
              </w:rPr>
            </w:pPr>
            <w:r>
              <w:rPr>
                <w:rFonts w:hint="eastAsia" w:ascii="宋体" w:hAnsi="宋体" w:eastAsia="宋体" w:cs="宋体"/>
                <w:i w:val="0"/>
                <w:iCs w:val="0"/>
                <w:color w:val="000000"/>
                <w:kern w:val="0"/>
                <w:sz w:val="22"/>
                <w:szCs w:val="22"/>
                <w:u w:val="none"/>
                <w:lang w:val="en-US" w:eastAsia="zh-CN" w:bidi="ar"/>
              </w:rPr>
              <w:t>需提供厂家授权书及3年售后服务承诺函</w:t>
            </w:r>
          </w:p>
        </w:tc>
      </w:tr>
    </w:tbl>
    <w:p w14:paraId="2FAD3EDA">
      <w:pPr>
        <w:rPr>
          <w:rFonts w:hint="eastAsia" w:ascii="宋体" w:hAnsi="宋体" w:eastAsia="宋体" w:cs="宋体"/>
        </w:rPr>
      </w:pPr>
    </w:p>
    <w:p w14:paraId="0B6F2A50">
      <w:pPr>
        <w:rPr>
          <w:rFonts w:hint="eastAsia" w:ascii="宋体" w:hAnsi="宋体" w:eastAsia="宋体" w:cs="宋体"/>
        </w:rPr>
      </w:pPr>
    </w:p>
    <w:sectPr>
      <w:pgSz w:w="11906" w:h="16838"/>
      <w:pgMar w:top="1417" w:right="1587" w:bottom="141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1B25819"/>
    <w:rsid w:val="01830099"/>
    <w:rsid w:val="02906F11"/>
    <w:rsid w:val="07031D2F"/>
    <w:rsid w:val="07B40FAC"/>
    <w:rsid w:val="0A79472F"/>
    <w:rsid w:val="0C4D7C21"/>
    <w:rsid w:val="0C7A654D"/>
    <w:rsid w:val="0C9E65BC"/>
    <w:rsid w:val="100131FC"/>
    <w:rsid w:val="11B81FE1"/>
    <w:rsid w:val="16C63DC0"/>
    <w:rsid w:val="1AC45552"/>
    <w:rsid w:val="1BD47220"/>
    <w:rsid w:val="1E480248"/>
    <w:rsid w:val="1E994FAD"/>
    <w:rsid w:val="1F417171"/>
    <w:rsid w:val="23FA0237"/>
    <w:rsid w:val="249146F7"/>
    <w:rsid w:val="24B16B47"/>
    <w:rsid w:val="26C37006"/>
    <w:rsid w:val="28435D4C"/>
    <w:rsid w:val="2D1C4D7A"/>
    <w:rsid w:val="306453B6"/>
    <w:rsid w:val="30EC733D"/>
    <w:rsid w:val="310224D9"/>
    <w:rsid w:val="32C71C2C"/>
    <w:rsid w:val="33745910"/>
    <w:rsid w:val="36054F45"/>
    <w:rsid w:val="389E6F8B"/>
    <w:rsid w:val="396B3311"/>
    <w:rsid w:val="39A1679C"/>
    <w:rsid w:val="3A396F6B"/>
    <w:rsid w:val="3AA40435"/>
    <w:rsid w:val="3D6A38DF"/>
    <w:rsid w:val="41B25819"/>
    <w:rsid w:val="429428DE"/>
    <w:rsid w:val="453018B3"/>
    <w:rsid w:val="46767799"/>
    <w:rsid w:val="48F21359"/>
    <w:rsid w:val="4ABD5355"/>
    <w:rsid w:val="4F19157B"/>
    <w:rsid w:val="51A33AFF"/>
    <w:rsid w:val="52DC3349"/>
    <w:rsid w:val="55163126"/>
    <w:rsid w:val="55A97243"/>
    <w:rsid w:val="5E6F08FE"/>
    <w:rsid w:val="601D2D07"/>
    <w:rsid w:val="612754C0"/>
    <w:rsid w:val="638154C5"/>
    <w:rsid w:val="64047D3A"/>
    <w:rsid w:val="65DD0843"/>
    <w:rsid w:val="68750568"/>
    <w:rsid w:val="691B3B5C"/>
    <w:rsid w:val="6D7368FF"/>
    <w:rsid w:val="742A10F7"/>
    <w:rsid w:val="757C3BD5"/>
    <w:rsid w:val="759A04FF"/>
    <w:rsid w:val="78C266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
    <w:name w:val="Strong"/>
    <w:basedOn w:val="4"/>
    <w:qFormat/>
    <w:uiPriority w:val="0"/>
    <w:rPr>
      <w:b/>
    </w:rPr>
  </w:style>
  <w:style w:type="paragraph" w:customStyle="1" w:styleId="6">
    <w:name w:val="样式2"/>
    <w:basedOn w:val="1"/>
    <w:next w:val="1"/>
    <w:qFormat/>
    <w:uiPriority w:val="0"/>
    <w:pPr>
      <w:keepNext/>
      <w:keepLines/>
      <w:spacing w:before="120" w:beforeLines="0" w:after="120" w:afterLines="0" w:line="240" w:lineRule="auto"/>
      <w:outlineLvl w:val="0"/>
    </w:pPr>
    <w:rPr>
      <w:rFonts w:hint="eastAsia" w:ascii="Times New Roman" w:hAnsi="Times New Roman" w:eastAsia="黑体" w:cs="黑体"/>
      <w:b/>
      <w:kern w:val="44"/>
      <w:sz w:val="32"/>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1072</Words>
  <Characters>1246</Characters>
  <Lines>0</Lines>
  <Paragraphs>0</Paragraphs>
  <TotalTime>1</TotalTime>
  <ScaleCrop>false</ScaleCrop>
  <LinksUpToDate>false</LinksUpToDate>
  <CharactersWithSpaces>1254</CharactersWithSpaces>
  <Application>WPS Office_12.1.0.26988_F1E327BC-269C-435d-A152-05C5408002CA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2026-01-13T14:25:00Z</dcterms:created>
  <dc:creator>韩sir</dc:creator>
  <cp:lastModifiedBy>东</cp:lastModifiedBy>
  <dcterms:modified xsi:type="dcterms:W3CDTF">2026-09-02T10:40:27Z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2052-12.1.0.26988</vt:lpwstr>
  </property>
  <property fmtid="{D5CDD505-2E9C-101B-9397-08002B2CF9AE}" pid="3" name="ICV">
    <vt:lpwstr>933C195D2420433CBE6AC168D4B9C1C7_13</vt:lpwstr>
  </property>
  <property fmtid="{D5CDD505-2E9C-101B-9397-08002B2CF9AE}" pid="4" name="KSOTemplateDocerSaveRecord">
    <vt:lpwstr>eyJoZGlkIjoiNGY3MGYzYTU0M2E5ZWVkYjAzNjIxY2ZjMTE1YjQ4ZmYiLCJ1c2VySWQiOiI0OTQ3NzQwOTMifQ==</vt:lpwstr>
  </property>
</Properties>
</file>